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临空投集团公司2021年度第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期社会咨询单位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</w:p>
    <w:tbl>
      <w:tblPr>
        <w:tblStyle w:val="7"/>
        <w:tblW w:w="9911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280"/>
        <w:gridCol w:w="4645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工程概况</w:t>
            </w: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遴选专题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tblCellSpacing w:w="0" w:type="dxa"/>
          <w:jc w:val="center"/>
        </w:trPr>
        <w:tc>
          <w:tcPr>
            <w:tcW w:w="110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汉孝城铁沿线景观提升工程</w:t>
            </w:r>
          </w:p>
        </w:tc>
        <w:tc>
          <w:tcPr>
            <w:tcW w:w="464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汉孝城铁沿线景观提升工程面积约为46.71公顷，其中水体面积约2.45公顷、基本农田约17.6公顷，预估总投资1.9亿元，主要建设内容包括景观工程（含绿化工程和园建工程）、建筑工程、给排水工程及电气工程等。</w:t>
            </w: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项目建议书及可行性研究报告编制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武汉航空企业总部区域汉孝城铁沿线环境整治工程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遴选评分细则</w:t>
      </w: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7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国家计委的计价格【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1283号文件的60％得5分，每下浮1％加1分，最多加10分；每上浮1％扣0.5分，报价超过该收费标准的70％，取消评选资格。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5C7F"/>
    <w:rsid w:val="10C06EEA"/>
    <w:rsid w:val="5632155B"/>
    <w:rsid w:val="6FF40BD2"/>
    <w:rsid w:val="79D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ind w:firstLine="616" w:firstLineChars="220"/>
      <w:jc w:val="left"/>
    </w:pPr>
    <w:rPr>
      <w:rFonts w:hAnsi="宋体"/>
      <w:sz w:val="28"/>
      <w:szCs w:val="2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 w:line="360" w:lineRule="auto"/>
      <w:ind w:left="0" w:leftChars="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2021-03-05T04:54:00Z</dcterms:created>
  <dc:creator>Administrator.USER-20170320RF</dc:creator>
  <cp:lastModifiedBy>Administrator</cp:lastModifiedBy>
  <dcterms:modified xsi:type="dcterms:W3CDTF">2021-06-25T07:05:13Z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